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6AA2" w14:textId="77777777" w:rsidR="00694E98" w:rsidRDefault="004213E2">
      <w:pPr>
        <w:jc w:val="center"/>
        <w:rPr>
          <w:b/>
          <w:sz w:val="28"/>
        </w:rPr>
      </w:pPr>
      <w:r>
        <w:rPr>
          <w:b/>
          <w:sz w:val="32"/>
        </w:rPr>
        <w:t>KRYTERIA OCENIANIA I WYMAGANIA EDUKACYJNE</w:t>
      </w:r>
      <w:r>
        <w:rPr>
          <w:b/>
          <w:sz w:val="32"/>
        </w:rPr>
        <w:br/>
      </w:r>
      <w:r>
        <w:rPr>
          <w:b/>
          <w:sz w:val="28"/>
        </w:rPr>
        <w:t>EDUKACJA ZDROWOTNA – KLASA 4</w:t>
      </w:r>
    </w:p>
    <w:p w14:paraId="78B676E5" w14:textId="77777777" w:rsidR="00DD6BD5" w:rsidRDefault="00DD6BD5">
      <w:pPr>
        <w:jc w:val="center"/>
      </w:pPr>
    </w:p>
    <w:p w14:paraId="6C561A4F" w14:textId="4E9DC238" w:rsidR="00217C03" w:rsidRPr="00DD6BD5" w:rsidRDefault="00DD6BD5">
      <w:pPr>
        <w:rPr>
          <w:b/>
          <w:bCs/>
          <w:iCs/>
          <w:sz w:val="24"/>
          <w:szCs w:val="24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 w:rsidRPr="00DD6BD5">
        <w:rPr>
          <w:b/>
          <w:bCs/>
          <w:iCs/>
          <w:sz w:val="24"/>
          <w:szCs w:val="24"/>
        </w:rPr>
        <w:t>mgr</w:t>
      </w:r>
      <w:proofErr w:type="spellEnd"/>
      <w:r w:rsidRPr="00DD6BD5">
        <w:rPr>
          <w:b/>
          <w:bCs/>
          <w:iCs/>
          <w:sz w:val="24"/>
          <w:szCs w:val="24"/>
        </w:rPr>
        <w:t xml:space="preserve"> Bożena </w:t>
      </w:r>
      <w:proofErr w:type="spellStart"/>
      <w:r w:rsidRPr="00DD6BD5">
        <w:rPr>
          <w:b/>
          <w:bCs/>
          <w:iCs/>
          <w:sz w:val="24"/>
          <w:szCs w:val="24"/>
        </w:rPr>
        <w:t>Szwedka</w:t>
      </w:r>
      <w:proofErr w:type="spellEnd"/>
    </w:p>
    <w:p w14:paraId="26981C31" w14:textId="77777777" w:rsidR="00217C03" w:rsidRPr="00DD6BD5" w:rsidRDefault="00217C03">
      <w:pPr>
        <w:rPr>
          <w:b/>
          <w:bCs/>
          <w:iCs/>
          <w:sz w:val="24"/>
          <w:szCs w:val="24"/>
        </w:rPr>
      </w:pPr>
    </w:p>
    <w:p w14:paraId="7C0CCB60" w14:textId="3E3C33B2" w:rsidR="00694E98" w:rsidRDefault="004213E2">
      <w:r>
        <w:t xml:space="preserve">Rok </w:t>
      </w:r>
      <w:proofErr w:type="spellStart"/>
      <w:r>
        <w:t>szkolny</w:t>
      </w:r>
      <w:proofErr w:type="spellEnd"/>
      <w:r>
        <w:t xml:space="preserve">: </w:t>
      </w:r>
      <w:r w:rsidR="004645B7">
        <w:t>2026/2027</w:t>
      </w:r>
    </w:p>
    <w:p w14:paraId="43354005" w14:textId="77777777" w:rsidR="00694E98" w:rsidRDefault="004213E2">
      <w:pPr>
        <w:pStyle w:val="Nagwek1"/>
      </w:pPr>
      <w:r>
        <w:t>1. Podstawa opracowania i zasady oceniania</w:t>
      </w:r>
    </w:p>
    <w:p w14:paraId="6CE5E318" w14:textId="77777777" w:rsidR="00694E98" w:rsidRDefault="004213E2">
      <w:r>
        <w:t>Kryteria opracowano bezpośrednio na podstawie programu nauczania edukacji zdrowotnej „Moje zdrowie” Katarzyny Przybysz (wyd. 2026). Program wskazuje, że wymagania na oceny zostały zbudowane z wykorzystaniem taksonomii Blooma: dopuszczająca – zapamiętywanie, dostateczna – rozumienie, dobra – zastosowanie, bardzo dobra – analiza i ocena, celująca – tworzenie. Ocena powinna uwzględniać nie tylko wiedzę, lecz także jej zastosowanie w codzienności, analizowanie problemów zdrowotnych, odpowiedzialne decyzje i proponowanie rozwiązań. Program rekomenduje ocenianie kształtujące, aktywności praktyczne i doświadczenia edukacyjne.</w:t>
      </w:r>
    </w:p>
    <w:p w14:paraId="4A460368" w14:textId="77777777" w:rsidR="00694E98" w:rsidRDefault="004213E2">
      <w:r>
        <w:t>Ocena niedostateczna (1) oznacza nieosiągnięcie podstawowych wymagań mimo udzielonego wsparcia i zastosowania przewidzianych dostosowań. Ocena nie jest karą za brak aktywności wynikający z niepełnosprawności lub innych rozpoznanych potrzeb – ocenia się osiągnięcia i postęp w zakresie ustalonych wymagań.</w:t>
      </w:r>
    </w:p>
    <w:p w14:paraId="7AFD9800" w14:textId="77777777" w:rsidR="00694E98" w:rsidRDefault="004213E2">
      <w:pPr>
        <w:pStyle w:val="Nagwek1"/>
      </w:pPr>
      <w:r>
        <w:t>2. Obszary oceniania</w:t>
      </w:r>
    </w:p>
    <w:p w14:paraId="6DBD356D" w14:textId="77777777" w:rsidR="00694E98" w:rsidRDefault="004213E2">
      <w:pPr>
        <w:pStyle w:val="Listapunktowana"/>
      </w:pPr>
      <w:r>
        <w:t>Moje zdrowie fizyczne – zdrowy styl życia, higiena, profilaktyka, choroby, pomiary, przygotowanie do wizyty lekarskiej, sytuacje zagrożenia i pierwsza pomoc.</w:t>
      </w:r>
    </w:p>
    <w:p w14:paraId="0EB79980" w14:textId="77777777" w:rsidR="00694E98" w:rsidRDefault="004213E2">
      <w:pPr>
        <w:pStyle w:val="Listapunktowana"/>
      </w:pPr>
      <w:r>
        <w:t>Moje odżywianie – talerz zdrowego żywienia, nawodnienie, produkty korzystne i niekorzystne dla zdrowia, etykiety, alergeny, świeżość żywności, przygotowywanie prostych posiłków i ograniczanie marnowania żywności.</w:t>
      </w:r>
    </w:p>
    <w:p w14:paraId="34888391" w14:textId="77777777" w:rsidR="00694E98" w:rsidRDefault="004213E2">
      <w:pPr>
        <w:pStyle w:val="Listapunktowana"/>
      </w:pPr>
      <w:r>
        <w:t>Moje miejsce w Internecie – higiena cyfrowa, wpływ urządzeń ekranowych na zdrowie, relacje online, zagrożenia internetowe, grooming, uzależnienie od Internetu i gier oraz sposoby reagowania i szukania pomocy.</w:t>
      </w:r>
    </w:p>
    <w:p w14:paraId="742C10C3" w14:textId="77777777" w:rsidR="00694E98" w:rsidRDefault="004213E2">
      <w:pPr>
        <w:pStyle w:val="Nagwek1"/>
      </w:pPr>
      <w:r>
        <w:t>3. Formy sprawdzania osiągnięć</w:t>
      </w:r>
    </w:p>
    <w:p w14:paraId="598C06CB" w14:textId="77777777" w:rsidR="00694E98" w:rsidRDefault="004213E2">
      <w:pPr>
        <w:pStyle w:val="Listapunktowana"/>
      </w:pPr>
      <w:r>
        <w:t>obserwacja pracy ucznia i jego aktywności podczas zajęć;</w:t>
      </w:r>
    </w:p>
    <w:p w14:paraId="6BED809F" w14:textId="77777777" w:rsidR="00694E98" w:rsidRDefault="004213E2">
      <w:pPr>
        <w:pStyle w:val="Listapunktowana"/>
      </w:pPr>
      <w:r>
        <w:t>zadania praktyczne, sytuacyjne i problemowe;</w:t>
      </w:r>
    </w:p>
    <w:p w14:paraId="116C3CAA" w14:textId="77777777" w:rsidR="00694E98" w:rsidRDefault="004213E2">
      <w:pPr>
        <w:pStyle w:val="Listapunktowana"/>
      </w:pPr>
      <w:r>
        <w:t>doświadczenie edukacyjne/projekt indywidualny lub grupowy;</w:t>
      </w:r>
    </w:p>
    <w:p w14:paraId="006004A0" w14:textId="77777777" w:rsidR="00694E98" w:rsidRDefault="004213E2">
      <w:pPr>
        <w:pStyle w:val="Listapunktowana"/>
      </w:pPr>
      <w:r>
        <w:t>karty pracy, quizy, krótkie wypowiedzi ustne lub pisemne – w zakresie dostosowanym do potrzeb ucznia;</w:t>
      </w:r>
    </w:p>
    <w:p w14:paraId="7E9E30CF" w14:textId="77777777" w:rsidR="00694E98" w:rsidRDefault="004213E2">
      <w:pPr>
        <w:pStyle w:val="Listapunktowana"/>
      </w:pPr>
      <w:r>
        <w:t>projekty, plakaty, lapbooki, prezentacje, mapy myśli, instrukcje i kampanie prozdrowotne;</w:t>
      </w:r>
    </w:p>
    <w:p w14:paraId="15C3685E" w14:textId="77777777" w:rsidR="00694E98" w:rsidRDefault="004213E2">
      <w:pPr>
        <w:pStyle w:val="Listapunktowana"/>
      </w:pPr>
      <w:r>
        <w:t>samoocena ucznia i analiza kart umiejętności;</w:t>
      </w:r>
    </w:p>
    <w:p w14:paraId="0487A70F" w14:textId="77777777" w:rsidR="00694E98" w:rsidRDefault="004213E2">
      <w:pPr>
        <w:pStyle w:val="Listapunktowana"/>
      </w:pPr>
      <w:r>
        <w:t>ocena umiejętności wykorzystania wiedzy w sytuacjach życia codziennego.</w:t>
      </w:r>
    </w:p>
    <w:p w14:paraId="632093CF" w14:textId="77777777" w:rsidR="00694E98" w:rsidRDefault="004213E2">
      <w:r>
        <w:t>Zgodnie z programem nie zaleca się budowania oceniania wyłącznie na klasycznych sprawdzianach. W klasach IV–VI uczeń powinien w ciągu roku wykonać co najmniej jedno doświadczenie edukacyjne o charakterze praktycznym.</w:t>
      </w:r>
    </w:p>
    <w:p w14:paraId="73D3503A" w14:textId="77777777" w:rsidR="00694E98" w:rsidRDefault="004213E2">
      <w:pPr>
        <w:pStyle w:val="Nagwek1"/>
      </w:pPr>
      <w:r>
        <w:lastRenderedPageBreak/>
        <w:t>4. Szczegółowe kryteria na poszczególne stopnie</w:t>
      </w:r>
    </w:p>
    <w:p w14:paraId="0CB9ADB8" w14:textId="77777777" w:rsidR="00694E98" w:rsidRDefault="004213E2">
      <w:r>
        <w:t>Poniższe wymagania odnoszą się do osiągnięć ucznia w danym dziale. Przy ustalaniu oceny śródrocznej i rocznej nauczyciel bierze pod uwagę całość osiągnięć ucznia, jego postęp, zaangażowanie oraz praktyczne wykorzystanie wiedzy.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694E98" w14:paraId="493DC0D4" w14:textId="77777777">
        <w:trPr>
          <w:jc w:val="center"/>
        </w:trPr>
        <w:tc>
          <w:tcPr>
            <w:tcW w:w="4873" w:type="dxa"/>
          </w:tcPr>
          <w:p w14:paraId="4A4A2E01" w14:textId="77777777" w:rsidR="00694E98" w:rsidRDefault="004213E2">
            <w:pPr>
              <w:spacing w:after="40"/>
            </w:pPr>
            <w:r>
              <w:rPr>
                <w:sz w:val="18"/>
              </w:rPr>
              <w:t>Stopień</w:t>
            </w:r>
          </w:p>
        </w:tc>
        <w:tc>
          <w:tcPr>
            <w:tcW w:w="4873" w:type="dxa"/>
          </w:tcPr>
          <w:p w14:paraId="1AD3C51E" w14:textId="77777777" w:rsidR="00694E98" w:rsidRDefault="004213E2">
            <w:pPr>
              <w:spacing w:after="40"/>
            </w:pPr>
            <w:r>
              <w:rPr>
                <w:sz w:val="18"/>
              </w:rPr>
              <w:t>Wymagania edukacyjne</w:t>
            </w:r>
          </w:p>
        </w:tc>
      </w:tr>
      <w:tr w:rsidR="00694E98" w14:paraId="1D026595" w14:textId="77777777">
        <w:trPr>
          <w:jc w:val="center"/>
        </w:trPr>
        <w:tc>
          <w:tcPr>
            <w:tcW w:w="4873" w:type="dxa"/>
          </w:tcPr>
          <w:p w14:paraId="611B4FF1" w14:textId="77777777" w:rsidR="00694E98" w:rsidRDefault="004213E2">
            <w:pPr>
              <w:spacing w:after="40"/>
            </w:pPr>
            <w:r>
              <w:rPr>
                <w:sz w:val="18"/>
              </w:rPr>
              <w:t>1 – niedostateczny</w:t>
            </w:r>
          </w:p>
        </w:tc>
        <w:tc>
          <w:tcPr>
            <w:tcW w:w="4873" w:type="dxa"/>
          </w:tcPr>
          <w:p w14:paraId="6FD6C2F7" w14:textId="77777777" w:rsidR="00694E98" w:rsidRDefault="004213E2">
            <w:pPr>
              <w:spacing w:after="40"/>
            </w:pPr>
            <w:r>
              <w:rPr>
                <w:sz w:val="18"/>
              </w:rPr>
              <w:t>Uczeń nie opanował podstawowych wiadomości i umiejętności koniecznych do dalszej realizacji programu, nawet po zastosowaniu dostosowań i udzieleniu pomocy; nie rozpoznaje podstawowych zasad zdrowia, odżywiania i bezpieczeństwa cyfrowego oraz nie podejmuje skutecznych prób wykonania zadań.</w:t>
            </w:r>
          </w:p>
        </w:tc>
      </w:tr>
      <w:tr w:rsidR="00694E98" w14:paraId="06446B4E" w14:textId="77777777">
        <w:trPr>
          <w:jc w:val="center"/>
        </w:trPr>
        <w:tc>
          <w:tcPr>
            <w:tcW w:w="4873" w:type="dxa"/>
          </w:tcPr>
          <w:p w14:paraId="7FFFD5AC" w14:textId="77777777" w:rsidR="00694E98" w:rsidRDefault="004213E2">
            <w:pPr>
              <w:spacing w:after="40"/>
            </w:pPr>
            <w:r>
              <w:rPr>
                <w:sz w:val="18"/>
              </w:rPr>
              <w:t>2 – dopuszczający</w:t>
            </w:r>
          </w:p>
        </w:tc>
        <w:tc>
          <w:tcPr>
            <w:tcW w:w="4873" w:type="dxa"/>
          </w:tcPr>
          <w:p w14:paraId="14B531CE" w14:textId="77777777" w:rsidR="00694E98" w:rsidRDefault="004213E2">
            <w:pPr>
              <w:spacing w:after="40"/>
            </w:pPr>
            <w:r>
              <w:rPr>
                <w:sz w:val="18"/>
              </w:rPr>
              <w:t>Uczeń na poziomie zapamiętywania i rozpoznawania: wymienia podstawowe pojęcia dotyczące zdrowia i zdrowego stylu życia; rozpoznaje podstawowe czynności higieniczne i środki higieniczne; wskazuje podstawowe produkty korzystne dla zdrowia oraz przykłady żywności i napojów niekorzystnych; wymienia podstawowe zasady higieny cyfrowej i rozpoznaje podstawowe zagrożenia w Internecie. Wykonuje proste zadania z pomocą nauczyciela.</w:t>
            </w:r>
          </w:p>
        </w:tc>
      </w:tr>
      <w:tr w:rsidR="00694E98" w14:paraId="3E9BB89B" w14:textId="77777777">
        <w:trPr>
          <w:jc w:val="center"/>
        </w:trPr>
        <w:tc>
          <w:tcPr>
            <w:tcW w:w="4873" w:type="dxa"/>
          </w:tcPr>
          <w:p w14:paraId="09D53D0C" w14:textId="77777777" w:rsidR="00694E98" w:rsidRDefault="004213E2">
            <w:pPr>
              <w:spacing w:after="40"/>
            </w:pPr>
            <w:r>
              <w:rPr>
                <w:sz w:val="18"/>
              </w:rPr>
              <w:t>3 – dostateczny</w:t>
            </w:r>
          </w:p>
        </w:tc>
        <w:tc>
          <w:tcPr>
            <w:tcW w:w="4873" w:type="dxa"/>
          </w:tcPr>
          <w:p w14:paraId="5493A131" w14:textId="77777777" w:rsidR="00694E98" w:rsidRDefault="004213E2">
            <w:pPr>
              <w:spacing w:after="40"/>
            </w:pPr>
            <w:r>
              <w:rPr>
                <w:sz w:val="18"/>
              </w:rPr>
              <w:t>Uczeń na poziomie rozumienia: wyjaśnia pojęcia zdrowia, zdrowego stylu życia, higieny, profilaktyki, gorączki, szczepień, nadwagi i otyłości; wyjaśnia zasady talerza zdrowego żywienia i nawodnienia, znaczenie regularnych posiłków oraz zasady przechowywania żywności; wyjaśnia pojęcia niebieskiego światła, szyi SMS-owej, krótkowzroczności, higieny cyfrowej i groomingu; opisuje korzyści przestrzegania zasad ekranowych. W prostych sytuacjach wyjaśnia właściwe postępowanie.</w:t>
            </w:r>
          </w:p>
        </w:tc>
      </w:tr>
      <w:tr w:rsidR="00694E98" w14:paraId="07796FED" w14:textId="77777777">
        <w:trPr>
          <w:jc w:val="center"/>
        </w:trPr>
        <w:tc>
          <w:tcPr>
            <w:tcW w:w="4873" w:type="dxa"/>
          </w:tcPr>
          <w:p w14:paraId="7705EA0C" w14:textId="77777777" w:rsidR="00694E98" w:rsidRDefault="004213E2">
            <w:pPr>
              <w:spacing w:after="40"/>
            </w:pPr>
            <w:r>
              <w:rPr>
                <w:sz w:val="18"/>
              </w:rPr>
              <w:t>4 – dobry</w:t>
            </w:r>
          </w:p>
        </w:tc>
        <w:tc>
          <w:tcPr>
            <w:tcW w:w="4873" w:type="dxa"/>
          </w:tcPr>
          <w:p w14:paraId="38F0C319" w14:textId="77777777" w:rsidR="00694E98" w:rsidRDefault="004213E2">
            <w:pPr>
              <w:spacing w:after="40"/>
            </w:pPr>
            <w:r>
              <w:rPr>
                <w:sz w:val="18"/>
              </w:rPr>
              <w:t>Uczeń na poziomie zastosowania: stosuje zasady higieny osobistej; przygotowuje się do typowej rozmowy z lekarzem; dobiera zachowanie do objawów choroby lub sytuacji zagrożenia; stosuje zasady talerza zdrowego żywienia, dobiera porcje, przygotowuje prosty zdrowy posiłek i rozpoznaje informacje na etykietach; stosuje higienę cyfrową, przestrzega zasad ekranowych, dobiera sposób reagowania na zagrożenia w sieci i wskazuje osoby lub miejsca pomocy.</w:t>
            </w:r>
          </w:p>
        </w:tc>
      </w:tr>
      <w:tr w:rsidR="00694E98" w14:paraId="2A80CB36" w14:textId="77777777">
        <w:trPr>
          <w:jc w:val="center"/>
        </w:trPr>
        <w:tc>
          <w:tcPr>
            <w:tcW w:w="4873" w:type="dxa"/>
          </w:tcPr>
          <w:p w14:paraId="58C78268" w14:textId="77777777" w:rsidR="00694E98" w:rsidRDefault="004213E2">
            <w:pPr>
              <w:spacing w:after="40"/>
            </w:pPr>
            <w:r>
              <w:rPr>
                <w:sz w:val="18"/>
              </w:rPr>
              <w:t>5 – bardzo dobry</w:t>
            </w:r>
          </w:p>
        </w:tc>
        <w:tc>
          <w:tcPr>
            <w:tcW w:w="4873" w:type="dxa"/>
          </w:tcPr>
          <w:p w14:paraId="78E2A92B" w14:textId="77777777" w:rsidR="00694E98" w:rsidRDefault="004213E2">
            <w:pPr>
              <w:spacing w:after="40"/>
            </w:pPr>
            <w:r>
              <w:rPr>
                <w:sz w:val="18"/>
              </w:rPr>
              <w:t>Uczeń na poziomie analizy i oceny: analizuje znaczenie profilaktyki, szczepień i badań; uzasadnia korzystanie z wiarygodnych źródeł informacji o zdrowiu i ocenia, które objawy wymagają konsultacji; analizuje skład produktów, uzasadnia wybory żywieniowe, ocenia wpływ słodzonych napojów, fast foodów i słodyczy oraz ogranicza marnowanie żywności; analizuje skutki nadmiernego korzystania z ekranów dla zdrowia i relacji, ocenia ryzyko niebezpiecznych kontaktów i uzasadnia zasady bezpieczeństwa cyfrowego.</w:t>
            </w:r>
          </w:p>
        </w:tc>
      </w:tr>
      <w:tr w:rsidR="00694E98" w14:paraId="473AB64B" w14:textId="77777777">
        <w:trPr>
          <w:jc w:val="center"/>
        </w:trPr>
        <w:tc>
          <w:tcPr>
            <w:tcW w:w="4873" w:type="dxa"/>
          </w:tcPr>
          <w:p w14:paraId="2A00A25F" w14:textId="77777777" w:rsidR="00694E98" w:rsidRDefault="004213E2">
            <w:pPr>
              <w:spacing w:after="40"/>
            </w:pPr>
            <w:r>
              <w:rPr>
                <w:sz w:val="18"/>
              </w:rPr>
              <w:t>6 – celujący</w:t>
            </w:r>
          </w:p>
        </w:tc>
        <w:tc>
          <w:tcPr>
            <w:tcW w:w="4873" w:type="dxa"/>
          </w:tcPr>
          <w:p w14:paraId="7561E27C" w14:textId="77777777" w:rsidR="00694E98" w:rsidRDefault="004213E2">
            <w:pPr>
              <w:spacing w:after="40"/>
            </w:pPr>
            <w:r>
              <w:rPr>
                <w:sz w:val="18"/>
              </w:rPr>
              <w:t>Uczeń twórczo wykorzystuje wiedzę: projektuje własny plan dbania o zdrowie, higienę i profilaktykę; tworzy instrukcję przygotowania do wizyty lekarskiej lub schemat postępowania w zagrożeniu; projektuje zdrowy jadłospis/drugie śniadanie, plan zakupów ograniczający marnowanie żywności i proponuje działania promujące zdrowe odżywianie; tworzy klasowe/domowe zasady ekranowe, instrukcję reagowania na zagrożenia internetowe lub materiały promujące bezpieczne korzystanie z technologii.</w:t>
            </w:r>
          </w:p>
        </w:tc>
      </w:tr>
    </w:tbl>
    <w:p w14:paraId="32702FD7" w14:textId="77777777" w:rsidR="00694E98" w:rsidRDefault="004213E2">
      <w:pPr>
        <w:pStyle w:val="Nagwek1"/>
      </w:pPr>
      <w:r>
        <w:lastRenderedPageBreak/>
        <w:t>5. Dostosowanie wymagań dla uczniów objętych pomocą psychologiczno-pedagogiczną (PP/SPE)</w:t>
      </w:r>
    </w:p>
    <w:p w14:paraId="14E827B8" w14:textId="77777777" w:rsidR="00694E98" w:rsidRDefault="004213E2">
      <w:r>
        <w:t>Dostosowania stosuje się zgodnie z opinią/orzeczeniem poradni psychologiczno-pedagogicznej, IPET – jeżeli dotyczy – oraz ustaleniami zespołu nauczycieli i specjalistów. Program podkreśla, że należy dostosować formy, metody i zasady oceniania do indywidualnych możliwości ucznia.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694E98" w14:paraId="61109BD4" w14:textId="77777777">
        <w:trPr>
          <w:jc w:val="center"/>
        </w:trPr>
        <w:tc>
          <w:tcPr>
            <w:tcW w:w="4873" w:type="dxa"/>
          </w:tcPr>
          <w:p w14:paraId="294884CD" w14:textId="77777777" w:rsidR="00694E98" w:rsidRDefault="004213E2">
            <w:pPr>
              <w:spacing w:after="40"/>
            </w:pPr>
            <w:r>
              <w:rPr>
                <w:sz w:val="16"/>
              </w:rPr>
              <w:t>Rodzaj potrzeb</w:t>
            </w:r>
          </w:p>
        </w:tc>
        <w:tc>
          <w:tcPr>
            <w:tcW w:w="4873" w:type="dxa"/>
          </w:tcPr>
          <w:p w14:paraId="5E1B86D6" w14:textId="77777777" w:rsidR="00694E98" w:rsidRDefault="004213E2">
            <w:pPr>
              <w:spacing w:after="40"/>
            </w:pPr>
            <w:r>
              <w:rPr>
                <w:sz w:val="16"/>
              </w:rPr>
              <w:t>Dostosowanie form pracy, sprawdzania i oceniania</w:t>
            </w:r>
          </w:p>
        </w:tc>
      </w:tr>
      <w:tr w:rsidR="00694E98" w14:paraId="283D0998" w14:textId="77777777">
        <w:trPr>
          <w:jc w:val="center"/>
        </w:trPr>
        <w:tc>
          <w:tcPr>
            <w:tcW w:w="4873" w:type="dxa"/>
          </w:tcPr>
          <w:p w14:paraId="5536F6EC" w14:textId="77777777" w:rsidR="00694E98" w:rsidRDefault="004213E2">
            <w:pPr>
              <w:spacing w:after="40"/>
            </w:pPr>
            <w:r>
              <w:rPr>
                <w:sz w:val="16"/>
              </w:rPr>
              <w:t>Niepełnosprawność intelektualna w stopniu lekkim</w:t>
            </w:r>
          </w:p>
        </w:tc>
        <w:tc>
          <w:tcPr>
            <w:tcW w:w="4873" w:type="dxa"/>
          </w:tcPr>
          <w:p w14:paraId="38AB8C95" w14:textId="77777777" w:rsidR="00694E98" w:rsidRDefault="004213E2">
            <w:pPr>
              <w:spacing w:after="40"/>
            </w:pPr>
            <w:r>
              <w:rPr>
                <w:sz w:val="16"/>
              </w:rPr>
              <w:t>Prosty język, konkretne przykłady, obrazki, plansze, scenki, ćwiczenia praktyczne; małe partie materiału. Sprawdzanie: rozmowa kierowana, luki, dopasowywanie, wybór odpowiedzi, plakat, historyjka obrazkowa. Oceniać przede wszystkim rozumienie podstawowych zasad i ich praktyczne zastosowanie; nie wymagać rozbudowanych definicji.</w:t>
            </w:r>
          </w:p>
        </w:tc>
      </w:tr>
      <w:tr w:rsidR="00694E98" w14:paraId="16129C6F" w14:textId="77777777">
        <w:trPr>
          <w:jc w:val="center"/>
        </w:trPr>
        <w:tc>
          <w:tcPr>
            <w:tcW w:w="4873" w:type="dxa"/>
          </w:tcPr>
          <w:p w14:paraId="48A5E169" w14:textId="77777777" w:rsidR="00694E98" w:rsidRDefault="004213E2">
            <w:pPr>
              <w:spacing w:after="40"/>
            </w:pPr>
            <w:r>
              <w:rPr>
                <w:sz w:val="16"/>
              </w:rPr>
              <w:t>ADHD</w:t>
            </w:r>
          </w:p>
        </w:tc>
        <w:tc>
          <w:tcPr>
            <w:tcW w:w="4873" w:type="dxa"/>
          </w:tcPr>
          <w:p w14:paraId="1EC56724" w14:textId="77777777" w:rsidR="00694E98" w:rsidRDefault="004213E2">
            <w:pPr>
              <w:spacing w:after="40"/>
            </w:pPr>
            <w:r>
              <w:rPr>
                <w:sz w:val="16"/>
              </w:rPr>
              <w:t>Krótkie aktywności, zmiana form pracy, zadania praktyczne i ruchowe, krótkie przerwy, dzielenie zadań na etapy. Dopuszczać krótsze testy, odpowiedź ustną, projektową lub praktyczną. Nie obniżać oceny za nadruchliwość, impulsywność lub trudności z koncentracją, jeżeli nie obniżają poziomu opanowania treści.</w:t>
            </w:r>
          </w:p>
        </w:tc>
      </w:tr>
      <w:tr w:rsidR="00694E98" w14:paraId="1852C0B2" w14:textId="77777777">
        <w:trPr>
          <w:jc w:val="center"/>
        </w:trPr>
        <w:tc>
          <w:tcPr>
            <w:tcW w:w="4873" w:type="dxa"/>
          </w:tcPr>
          <w:p w14:paraId="63080552" w14:textId="77777777" w:rsidR="00694E98" w:rsidRDefault="004213E2">
            <w:pPr>
              <w:spacing w:after="40"/>
            </w:pPr>
            <w:r>
              <w:rPr>
                <w:sz w:val="16"/>
              </w:rPr>
              <w:t>Spektrum autyzmu / zespół Aspergera</w:t>
            </w:r>
          </w:p>
        </w:tc>
        <w:tc>
          <w:tcPr>
            <w:tcW w:w="4873" w:type="dxa"/>
          </w:tcPr>
          <w:p w14:paraId="45C10111" w14:textId="77777777" w:rsidR="00694E98" w:rsidRDefault="004213E2">
            <w:pPr>
              <w:spacing w:after="40"/>
            </w:pPr>
            <w:r>
              <w:rPr>
                <w:sz w:val="16"/>
              </w:rPr>
              <w:t>Przewidywalna struktura, jasne zasady i konkretne polecenia, unikanie wieloznaczności. Możliwość pracy indywidualnej. Odpowiedzi mogą mieć formę schematu, tabeli, mapy zależności lub instrukcji. Nie obniżać oceny za trudności w kontakcie wzrokowym, interpretacji emocji, pracy zespołowej lub wypowiedzi ustnej, jeśli wynikają ze spektrum.</w:t>
            </w:r>
          </w:p>
        </w:tc>
      </w:tr>
      <w:tr w:rsidR="00694E98" w14:paraId="7E347464" w14:textId="77777777">
        <w:trPr>
          <w:jc w:val="center"/>
        </w:trPr>
        <w:tc>
          <w:tcPr>
            <w:tcW w:w="4873" w:type="dxa"/>
          </w:tcPr>
          <w:p w14:paraId="39B72623" w14:textId="77777777" w:rsidR="00694E98" w:rsidRDefault="004213E2">
            <w:pPr>
              <w:spacing w:after="40"/>
            </w:pPr>
            <w:r>
              <w:rPr>
                <w:sz w:val="16"/>
              </w:rPr>
              <w:t>Dysleksja, dysortografia, dysgrafia</w:t>
            </w:r>
          </w:p>
        </w:tc>
        <w:tc>
          <w:tcPr>
            <w:tcW w:w="4873" w:type="dxa"/>
          </w:tcPr>
          <w:p w14:paraId="423ECC67" w14:textId="77777777" w:rsidR="00694E98" w:rsidRDefault="004213E2">
            <w:pPr>
              <w:spacing w:after="40"/>
            </w:pPr>
            <w:r>
              <w:rPr>
                <w:sz w:val="16"/>
              </w:rPr>
              <w:t>Czytelne materiały, większa interlinia, krótsze akapity, mapy myśli i schematy, więcej czasu. Możliwość odpowiedzi ustnej, nagrania, plakatu lub prezentacji. Nie obniżać oceny za błędy ortograficzne, interpunkcyjne, wolne tempo lub pismo, jeśli nie są przedmiotem oceny; oceniać poprawność merytoryczną.</w:t>
            </w:r>
          </w:p>
        </w:tc>
      </w:tr>
      <w:tr w:rsidR="00694E98" w14:paraId="63EC0ED9" w14:textId="77777777">
        <w:trPr>
          <w:jc w:val="center"/>
        </w:trPr>
        <w:tc>
          <w:tcPr>
            <w:tcW w:w="4873" w:type="dxa"/>
          </w:tcPr>
          <w:p w14:paraId="3D620C86" w14:textId="77777777" w:rsidR="00694E98" w:rsidRDefault="004213E2">
            <w:pPr>
              <w:spacing w:after="40"/>
            </w:pPr>
            <w:r>
              <w:rPr>
                <w:sz w:val="16"/>
              </w:rPr>
              <w:t>Afazja / trudności językowe</w:t>
            </w:r>
          </w:p>
        </w:tc>
        <w:tc>
          <w:tcPr>
            <w:tcW w:w="4873" w:type="dxa"/>
          </w:tcPr>
          <w:p w14:paraId="7587559B" w14:textId="77777777" w:rsidR="00694E98" w:rsidRDefault="004213E2">
            <w:pPr>
              <w:spacing w:after="40"/>
            </w:pPr>
            <w:r>
              <w:rPr>
                <w:sz w:val="16"/>
              </w:rPr>
              <w:t>Możliwość odpowiedzi pojedynczymi słowami, gestem, wskazaniem, wyborem obrazka, symbolem lub krótką notatką. Stosować zadania: dopasuj, wybierz, połącz, ułóż kolejność, wskaż właściwe zachowanie. Nie oceniać płynności, bogactwa słownictwa i poprawności gramatycznej, jeśli trudności wynikają z afazji.</w:t>
            </w:r>
          </w:p>
        </w:tc>
      </w:tr>
      <w:tr w:rsidR="00694E98" w14:paraId="3F6CFED3" w14:textId="77777777">
        <w:trPr>
          <w:jc w:val="center"/>
        </w:trPr>
        <w:tc>
          <w:tcPr>
            <w:tcW w:w="4873" w:type="dxa"/>
          </w:tcPr>
          <w:p w14:paraId="72027844" w14:textId="77777777" w:rsidR="00694E98" w:rsidRDefault="004213E2">
            <w:pPr>
              <w:spacing w:after="40"/>
            </w:pPr>
            <w:r>
              <w:rPr>
                <w:sz w:val="16"/>
              </w:rPr>
              <w:t>Trudności emocjonalne / lękowe</w:t>
            </w:r>
          </w:p>
        </w:tc>
        <w:tc>
          <w:tcPr>
            <w:tcW w:w="4873" w:type="dxa"/>
          </w:tcPr>
          <w:p w14:paraId="63CCB5F2" w14:textId="77777777" w:rsidR="00694E98" w:rsidRDefault="004213E2">
            <w:pPr>
              <w:spacing w:after="40"/>
            </w:pPr>
            <w:r>
              <w:rPr>
                <w:sz w:val="16"/>
              </w:rPr>
              <w:t>Unikać odpytywania z zaskoczenia, publicznego oceniania, presji czasu i porównywania z innymi. Dopuszczać odpowiedź pisemną zamiast ustnej, pracę indywidualną i wcześniejsze przygotowanie wypowiedzi. Oceniać wiedzę i zastosowanie zasad, a nie osobiste przeżycia ucznia; doceniać wysiłek, regularność i postęp.</w:t>
            </w:r>
          </w:p>
        </w:tc>
      </w:tr>
      <w:tr w:rsidR="00694E98" w14:paraId="49FD7427" w14:textId="77777777">
        <w:trPr>
          <w:jc w:val="center"/>
        </w:trPr>
        <w:tc>
          <w:tcPr>
            <w:tcW w:w="4873" w:type="dxa"/>
          </w:tcPr>
          <w:p w14:paraId="5378AC6F" w14:textId="77777777" w:rsidR="00694E98" w:rsidRDefault="004213E2">
            <w:pPr>
              <w:spacing w:after="40"/>
            </w:pPr>
            <w:r>
              <w:rPr>
                <w:sz w:val="16"/>
              </w:rPr>
              <w:t>Uczeń słabosłyszący / niesłyszący</w:t>
            </w:r>
          </w:p>
        </w:tc>
        <w:tc>
          <w:tcPr>
            <w:tcW w:w="4873" w:type="dxa"/>
          </w:tcPr>
          <w:p w14:paraId="577BF89D" w14:textId="77777777" w:rsidR="00694E98" w:rsidRDefault="004213E2">
            <w:pPr>
              <w:spacing w:after="40"/>
            </w:pPr>
            <w:r>
              <w:rPr>
                <w:sz w:val="16"/>
              </w:rPr>
              <w:t>Miejsce umożliwiające obserwowanie twarzy nauczyciela, upewnianie się, że polecenie zostało zrozumiane. Możliwość odpowiedzi pisemnej, graficznej lub projektowej. Oceniać rozumienie treści, poprawność merytoryczną i zastosowanie wiedzy.</w:t>
            </w:r>
          </w:p>
        </w:tc>
      </w:tr>
      <w:tr w:rsidR="00694E98" w14:paraId="1F67DB34" w14:textId="77777777">
        <w:trPr>
          <w:jc w:val="center"/>
        </w:trPr>
        <w:tc>
          <w:tcPr>
            <w:tcW w:w="4873" w:type="dxa"/>
          </w:tcPr>
          <w:p w14:paraId="1B5DE332" w14:textId="77777777" w:rsidR="00694E98" w:rsidRDefault="004213E2">
            <w:pPr>
              <w:spacing w:after="40"/>
            </w:pPr>
            <w:r>
              <w:rPr>
                <w:sz w:val="16"/>
              </w:rPr>
              <w:t>Uczeń słabowidzący</w:t>
            </w:r>
          </w:p>
        </w:tc>
        <w:tc>
          <w:tcPr>
            <w:tcW w:w="4873" w:type="dxa"/>
          </w:tcPr>
          <w:p w14:paraId="7BE1C5A2" w14:textId="77777777" w:rsidR="00694E98" w:rsidRDefault="004213E2">
            <w:pPr>
              <w:spacing w:after="40"/>
            </w:pPr>
            <w:r>
              <w:rPr>
                <w:sz w:val="16"/>
              </w:rPr>
              <w:t>Powiększona czcionka, dobry kontrast, ograniczenie nadmiaru elementów, materiały elektroniczne, odpowiednie miejsce w sali, wydłużony czas. Nie oceniać zadań wykonywanych wyłącznie ze słuchu; nie obniżać oceny za trudności wynikające z ograniczonego odbioru.</w:t>
            </w:r>
          </w:p>
        </w:tc>
      </w:tr>
    </w:tbl>
    <w:p w14:paraId="6E511D66" w14:textId="77777777" w:rsidR="00694E98" w:rsidRDefault="004213E2">
      <w:pPr>
        <w:pStyle w:val="Nagwek1"/>
      </w:pPr>
      <w:r>
        <w:t>6. Zasady oceniania ucznia z PP</w:t>
      </w:r>
    </w:p>
    <w:p w14:paraId="38E1C525" w14:textId="77777777" w:rsidR="00694E98" w:rsidRDefault="004213E2">
      <w:pPr>
        <w:pStyle w:val="Listapunktowana"/>
      </w:pPr>
      <w:r>
        <w:t>Punktem odniesienia są wymagania programu oraz indywidualne możliwości i zalecenia dotyczące ucznia.</w:t>
      </w:r>
    </w:p>
    <w:p w14:paraId="4854F648" w14:textId="77777777" w:rsidR="00694E98" w:rsidRDefault="004213E2">
      <w:pPr>
        <w:pStyle w:val="Listapunktowana"/>
      </w:pPr>
      <w:r>
        <w:t>Dostosowanie dotyczy przede wszystkim formy, metod, tempa, zakresu wsparcia i sposobu prezentowania wiedzy – zgodnie z dokumentacją ucznia.</w:t>
      </w:r>
    </w:p>
    <w:p w14:paraId="7E78F9D3" w14:textId="77777777" w:rsidR="00694E98" w:rsidRDefault="004213E2">
      <w:pPr>
        <w:pStyle w:val="Listapunktowana"/>
      </w:pPr>
      <w:r>
        <w:t>Ocenia się przede wszystkim rozumienie treści, umiejętność zastosowania wiedzy, bezpieczeństwo zachowania, postęp i zaangażowanie.</w:t>
      </w:r>
    </w:p>
    <w:p w14:paraId="02151369" w14:textId="77777777" w:rsidR="00694E98" w:rsidRDefault="004213E2">
      <w:pPr>
        <w:pStyle w:val="Listapunktowana"/>
      </w:pPr>
      <w:r>
        <w:t>Nie obniża się oceny za trudności będące bezpośrednim skutkiem rozpoznanych potrzeb, jeżeli nie są one przedmiotem oceniania.</w:t>
      </w:r>
    </w:p>
    <w:p w14:paraId="7D964B14" w14:textId="77777777" w:rsidR="00694E98" w:rsidRDefault="004213E2">
      <w:pPr>
        <w:pStyle w:val="Listapunktowana"/>
      </w:pPr>
      <w:r>
        <w:lastRenderedPageBreak/>
        <w:t>W razie potrzeby uczeń otrzymuje więcej czasu, mniejszą liczbę elementów zadania, dodatkową instrukcję, przykład lub możliwość wykonania zadania w innej formie.</w:t>
      </w:r>
    </w:p>
    <w:p w14:paraId="09CB375B" w14:textId="77777777" w:rsidR="00694E98" w:rsidRDefault="004213E2">
      <w:pPr>
        <w:pStyle w:val="Listapunktowana"/>
      </w:pPr>
      <w:r>
        <w:t>W przypadku zadań dotyczących zdrowia osobistego, emocji, relacji i dojrzewania należy szczególnie respektować prywatność, godność i bezpieczeństwo ucznia.</w:t>
      </w:r>
    </w:p>
    <w:p w14:paraId="1E633DA6" w14:textId="7D8CE52D" w:rsidR="00694E98" w:rsidRDefault="004213E2" w:rsidP="00DD6BD5">
      <w:pPr>
        <w:pStyle w:val="Listapunktowana"/>
      </w:pPr>
      <w:r>
        <w:t xml:space="preserve">Dostosowania nie oznaczają automatycznego obniżenia stopnia; uczeń może osiągać każdą z ocen, jeżeli spełnia dostosowane do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możliwości</w:t>
      </w:r>
      <w:proofErr w:type="spellEnd"/>
      <w:r>
        <w:t xml:space="preserve"> </w:t>
      </w:r>
      <w:proofErr w:type="spellStart"/>
      <w:r>
        <w:t>wymagania</w:t>
      </w:r>
      <w:proofErr w:type="spellEnd"/>
      <w:r>
        <w:t>.</w:t>
      </w:r>
    </w:p>
    <w:p w14:paraId="461AD279" w14:textId="4FADD523" w:rsidR="00694E98" w:rsidRDefault="00694E98"/>
    <w:sectPr w:rsidR="00694E98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5318119">
    <w:abstractNumId w:val="8"/>
  </w:num>
  <w:num w:numId="2" w16cid:durableId="805657771">
    <w:abstractNumId w:val="6"/>
  </w:num>
  <w:num w:numId="3" w16cid:durableId="1620330892">
    <w:abstractNumId w:val="5"/>
  </w:num>
  <w:num w:numId="4" w16cid:durableId="927346765">
    <w:abstractNumId w:val="4"/>
  </w:num>
  <w:num w:numId="5" w16cid:durableId="1511334677">
    <w:abstractNumId w:val="7"/>
  </w:num>
  <w:num w:numId="6" w16cid:durableId="166141507">
    <w:abstractNumId w:val="3"/>
  </w:num>
  <w:num w:numId="7" w16cid:durableId="127475595">
    <w:abstractNumId w:val="2"/>
  </w:num>
  <w:num w:numId="8" w16cid:durableId="1189106501">
    <w:abstractNumId w:val="1"/>
  </w:num>
  <w:num w:numId="9" w16cid:durableId="82319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7C03"/>
    <w:rsid w:val="0029639D"/>
    <w:rsid w:val="00320995"/>
    <w:rsid w:val="00326F90"/>
    <w:rsid w:val="003B3AE4"/>
    <w:rsid w:val="003D2846"/>
    <w:rsid w:val="004213E2"/>
    <w:rsid w:val="004645B7"/>
    <w:rsid w:val="00694E98"/>
    <w:rsid w:val="00AA1D8D"/>
    <w:rsid w:val="00B47730"/>
    <w:rsid w:val="00CB0664"/>
    <w:rsid w:val="00DD6B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EFCCE6"/>
  <w14:defaultImageDpi w14:val="300"/>
  <w15:docId w15:val="{B1B3788A-243F-4B8C-8604-8635D9E7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1359</Words>
  <Characters>8156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Bożenka Córka Króla</cp:lastModifiedBy>
  <cp:revision>3</cp:revision>
  <dcterms:created xsi:type="dcterms:W3CDTF">2026-08-21T11:55:00Z</dcterms:created>
  <dcterms:modified xsi:type="dcterms:W3CDTF">2026-09-03T13:08:00Z</dcterms:modified>
  <cp:category/>
</cp:coreProperties>
</file>